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15" w:type="dxa"/>
        <w:jc w:val="center"/>
        <w:tblLook w:val="04A0" w:firstRow="1" w:lastRow="0" w:firstColumn="1" w:lastColumn="0" w:noHBand="0" w:noVBand="1"/>
      </w:tblPr>
      <w:tblGrid>
        <w:gridCol w:w="3004"/>
        <w:gridCol w:w="6011"/>
      </w:tblGrid>
      <w:tr w:rsidR="00415FA9" w:rsidRPr="00A63E50" w:rsidTr="00511A67">
        <w:trPr>
          <w:jc w:val="center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:rsidR="00415FA9" w:rsidRPr="00A63E50" w:rsidRDefault="00415FA9" w:rsidP="00511A67">
            <w:pPr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Product Specification description (Harbour Infrastructure) 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Action 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Description</w:t>
            </w:r>
          </w:p>
        </w:tc>
      </w:tr>
      <w:tr w:rsidR="00415FA9" w:rsidRPr="00A63E50" w:rsidTr="00511A67">
        <w:trPr>
          <w:trHeight w:val="551"/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Product Specification number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S-130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Marine Harbour Infrastructure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Abstract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The Marine Harbour Infrastructure product intended use is to raise situational awareness before approaching a harbour.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Knowing a priori the layout of the berths as well as the services offered for berthing procedure and alongside is important in the berth-to-berth route planning process for an efficient harbour call.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Knowing all the services they need while at port are available and accessible as well as having a smooth transition into their berthing position.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The data will be able to be filtered according to needs to help reduce the cognitive burden on the mariner and presented in a way that is compact, organised and easily accessible.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This information is also useful for shipping companies, brokers and other in the industry to optimize their planning.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Product Specification Scope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Style w:val="tlid-translation"/>
                <w:rFonts w:ascii="Arial Narrow" w:eastAsiaTheme="majorEastAsia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Style w:val="tlid-translation"/>
                <w:rFonts w:ascii="Arial Narrow" w:eastAsiaTheme="majorEastAsia" w:hAnsi="Arial Narrow" w:cs="Arial"/>
                <w:color w:val="auto"/>
                <w:sz w:val="22"/>
                <w:szCs w:val="22"/>
                <w:lang w:val="en-GB"/>
              </w:rPr>
              <w:t xml:space="preserve">The </w:t>
            </w: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Marine Harbour Infrastructure</w:t>
            </w:r>
            <w:r w:rsidRPr="00A63E50">
              <w:rPr>
                <w:rStyle w:val="tlid-translation"/>
                <w:rFonts w:ascii="Arial Narrow" w:eastAsiaTheme="majorEastAsia" w:hAnsi="Arial Narrow" w:cs="Arial"/>
                <w:color w:val="auto"/>
                <w:sz w:val="22"/>
                <w:szCs w:val="22"/>
                <w:lang w:val="en-GB"/>
              </w:rPr>
              <w:t xml:space="preserve"> describes relevant and data on harbour infrastructure, facilities and services in a harmonised form.</w:t>
            </w:r>
          </w:p>
          <w:p w:rsidR="00415FA9" w:rsidRPr="00A63E50" w:rsidRDefault="00415FA9" w:rsidP="00511A67">
            <w:pPr>
              <w:rPr>
                <w:rFonts w:ascii="Arial Narrow" w:eastAsiaTheme="majorEastAsia" w:hAnsi="Arial Narrow" w:cs="Arial"/>
                <w:color w:val="auto"/>
                <w:sz w:val="22"/>
                <w:szCs w:val="22"/>
                <w:lang w:val="en-GB"/>
              </w:rPr>
            </w:pPr>
            <w:r w:rsidRPr="00A63E50">
              <w:rPr>
                <w:rStyle w:val="tlid-translation"/>
                <w:rFonts w:ascii="Arial Narrow" w:eastAsiaTheme="majorEastAsia" w:hAnsi="Arial Narrow" w:cs="Arial"/>
                <w:color w:val="auto"/>
                <w:sz w:val="22"/>
                <w:szCs w:val="22"/>
                <w:lang w:val="en-GB"/>
              </w:rPr>
              <w:t>The main source of the data is information from harbour masters.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Justification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This Product Specification was a choice listed in an earlier SNPWG survey but did not place high enough by survey respondents for development by SNPWG/NIPWG.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Within the Marine Harbour Infrastructure there are the following categories: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1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Land-based infrastructure 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1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Water-based infrastructure.</w:t>
            </w: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Each of these categories can further be subdivided into</w:t>
            </w:r>
          </w:p>
          <w:p w:rsidR="00415FA9" w:rsidRPr="00A63E50" w:rsidRDefault="00415FA9" w:rsidP="00511A67">
            <w:pPr>
              <w:pStyle w:val="KeinLeerraum"/>
              <w:jc w:val="both"/>
              <w:rPr>
                <w:rFonts w:ascii="Arial Narrow" w:hAnsi="Arial Narrow" w:cs="Arial"/>
                <w:szCs w:val="22"/>
                <w:u w:val="single"/>
              </w:rPr>
            </w:pPr>
            <w:r w:rsidRPr="00A63E50">
              <w:rPr>
                <w:rFonts w:ascii="Arial Narrow" w:hAnsi="Arial Narrow" w:cs="Arial"/>
                <w:b/>
                <w:szCs w:val="22"/>
              </w:rPr>
              <w:t>Physical Infrastructure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3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Berths—Length, width, height above water, depth alongside, cargo handled, vessel parameters (maximum size, loa, draft, beam, etc.), mooring fittings (chocks, bits, bollards, fairleads).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3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Storage yards/warehouses—Size, availability, location, cargo capability.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3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Cranes—Type (container, rubber tire gantry, rail mounted, forklifts), safe working loads, capacity, number available.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3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Other cargo loading/unloading—Conveyor belts, liquid/solid bulk transfer capability (type of cargo, loading rates)</w:t>
            </w: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Repair facilities—Dry docks, floating docks, floating cranes, repair yards (including vessel parameters).</w:t>
            </w: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Service Infrastructure</w:t>
            </w: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: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Stevedores/other dockworkers.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Line handlers.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Bunkers.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Fresh water.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Trash removal.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CHT services.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Shore power.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Types of repairs.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Communications availability.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Medical/dental facilities.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Truck/rail availability.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Ship Sanitation Control Certificates (SSCC)</w:t>
            </w:r>
          </w:p>
          <w:p w:rsidR="00415FA9" w:rsidRPr="00A63E50" w:rsidRDefault="00415FA9" w:rsidP="00415FA9">
            <w:pPr>
              <w:pStyle w:val="Listenabsatz"/>
              <w:numPr>
                <w:ilvl w:val="0"/>
                <w:numId w:val="2"/>
              </w:num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Ship Sanitation Control Exemption Certificates (SSCEC)</w:t>
            </w: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415FA9" w:rsidRPr="00A63E50" w:rsidRDefault="00415FA9" w:rsidP="00511A67">
            <w:pPr>
              <w:suppressAutoHyphens w:val="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The Product Specification content can cover official Nautical Publications information as well as information issued by the competent harbour authority. 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Specification Interoperability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S-101ENC will provide the most physical infrastructure information.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S-98 Applicability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Applicable to S-98 (Yes </w:t>
            </w:r>
            <w:sdt>
              <w:sdtPr>
                <w:rPr>
                  <w:rFonts w:ascii="Arial Narrow" w:hAnsi="Arial Narrow" w:cs="Arial"/>
                  <w:sz w:val="22"/>
                  <w:szCs w:val="22"/>
                  <w:lang w:val="en-GB"/>
                </w:rPr>
                <w:id w:val="1353149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63E5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or No </w:t>
            </w:r>
            <w:sdt>
              <w:sdtPr>
                <w:rPr>
                  <w:rFonts w:ascii="Arial Narrow" w:hAnsi="Arial Narrow" w:cs="Arial"/>
                  <w:sz w:val="22"/>
                  <w:szCs w:val="22"/>
                  <w:lang w:val="en-GB"/>
                </w:rPr>
                <w:id w:val="178414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E5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)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Cooperation with other HSSC WGs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NCWG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S-101 PT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S-102 and S-129 may be if water depths information is needed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55,000 – 65,000 € in total.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30,000 € are preparation work belonging to NIPWG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25,000 – 35,000 € are sufficient for the pure product specification development.</w:t>
            </w:r>
          </w:p>
        </w:tc>
      </w:tr>
      <w:tr w:rsidR="00415FA9" w:rsidRPr="00A63E50" w:rsidTr="00511A67">
        <w:trPr>
          <w:jc w:val="center"/>
        </w:trPr>
        <w:tc>
          <w:tcPr>
            <w:tcW w:w="3004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Schedule</w:t>
            </w:r>
          </w:p>
        </w:tc>
        <w:tc>
          <w:tcPr>
            <w:tcW w:w="6011" w:type="dxa"/>
          </w:tcPr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Based on state of currents development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2020 NIPWG starts researches, data model, etc. 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2024 Product Specification development starts</w:t>
            </w:r>
          </w:p>
          <w:p w:rsidR="00415FA9" w:rsidRPr="00A63E50" w:rsidRDefault="00415FA9" w:rsidP="00511A6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2026 Product Specification version 1 ready and goes </w:t>
            </w: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in</w:t>
            </w:r>
            <w:r w:rsidRPr="00A63E50">
              <w:rPr>
                <w:rFonts w:ascii="Arial Narrow" w:hAnsi="Arial Narrow" w:cs="Arial"/>
                <w:sz w:val="22"/>
                <w:szCs w:val="22"/>
                <w:lang w:val="en-GB"/>
              </w:rPr>
              <w:t>to 2/2007 circle</w:t>
            </w:r>
          </w:p>
        </w:tc>
      </w:tr>
    </w:tbl>
    <w:p w:rsidR="00415FA9" w:rsidRPr="00A63E50" w:rsidRDefault="00415FA9" w:rsidP="00415FA9">
      <w:pPr>
        <w:tabs>
          <w:tab w:val="left" w:pos="4536"/>
        </w:tabs>
        <w:suppressAutoHyphens w:val="0"/>
        <w:rPr>
          <w:rFonts w:ascii="Arial Narrow" w:hAnsi="Arial Narrow"/>
          <w:sz w:val="22"/>
          <w:szCs w:val="22"/>
          <w:lang w:val="en-GB"/>
        </w:rPr>
      </w:pPr>
    </w:p>
    <w:p w:rsidR="00841710" w:rsidRPr="00415FA9" w:rsidRDefault="00841710">
      <w:pPr>
        <w:rPr>
          <w:lang w:val="en-GB"/>
        </w:rPr>
      </w:pPr>
      <w:bookmarkStart w:id="0" w:name="_GoBack"/>
      <w:bookmarkEnd w:id="0"/>
    </w:p>
    <w:sectPr w:rsidR="00841710" w:rsidRPr="00415FA9">
      <w:pgSz w:w="11906" w:h="16838"/>
      <w:pgMar w:top="1440" w:right="1800" w:bottom="1440" w:left="1800" w:header="708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01189"/>
    <w:multiLevelType w:val="hybridMultilevel"/>
    <w:tmpl w:val="6CF2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467"/>
    <w:multiLevelType w:val="hybridMultilevel"/>
    <w:tmpl w:val="6CF2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F737C"/>
    <w:multiLevelType w:val="hybridMultilevel"/>
    <w:tmpl w:val="6CF2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9"/>
    <w:rsid w:val="00095E89"/>
    <w:rsid w:val="000C5294"/>
    <w:rsid w:val="001979AF"/>
    <w:rsid w:val="00415FA9"/>
    <w:rsid w:val="0042163F"/>
    <w:rsid w:val="0051486E"/>
    <w:rsid w:val="00814D08"/>
    <w:rsid w:val="00841710"/>
    <w:rsid w:val="00892260"/>
    <w:rsid w:val="00AA061B"/>
    <w:rsid w:val="00D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D031-3DD8-4BA0-8F74-CF0E75A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5FA9"/>
    <w:pPr>
      <w:suppressAutoHyphens/>
    </w:pPr>
    <w:rPr>
      <w:color w:val="00000A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A061B"/>
    <w:rPr>
      <w:rFonts w:ascii="Helvetica" w:hAnsi="Helvetica"/>
      <w:sz w:val="22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415F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41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415FA9"/>
    <w:rPr>
      <w:color w:val="00000A"/>
      <w:sz w:val="24"/>
      <w:szCs w:val="24"/>
      <w:lang w:val="en-US" w:eastAsia="en-US"/>
    </w:rPr>
  </w:style>
  <w:style w:type="character" w:customStyle="1" w:styleId="tlid-translation">
    <w:name w:val="tlid-translation"/>
    <w:basedOn w:val="Absatz-Standardschriftart"/>
    <w:rsid w:val="0041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5DE9EA8A.dotm</Template>
  <TotalTime>0</TotalTime>
  <Pages>2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Seeschifffahrt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Schröder-Fürstenberg</dc:creator>
  <cp:keywords/>
  <dc:description/>
  <cp:lastModifiedBy>Jens Schröder-Fürstenberg</cp:lastModifiedBy>
  <cp:revision>1</cp:revision>
  <dcterms:created xsi:type="dcterms:W3CDTF">2020-06-07T18:38:00Z</dcterms:created>
  <dcterms:modified xsi:type="dcterms:W3CDTF">2020-06-07T18:38:00Z</dcterms:modified>
</cp:coreProperties>
</file>